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D6E0" w14:textId="77777777" w:rsidR="00C10AD8" w:rsidRPr="005551D4" w:rsidRDefault="00C10AD8" w:rsidP="00C10AD8">
      <w:pPr>
        <w:spacing w:line="480" w:lineRule="auto"/>
        <w:rPr>
          <w:rFonts w:eastAsia="Calibri" w:cs="Times New Roman"/>
          <w:b/>
          <w:sz w:val="24"/>
          <w:szCs w:val="24"/>
        </w:rPr>
      </w:pPr>
      <w:r w:rsidRPr="005551D4">
        <w:rPr>
          <w:rFonts w:eastAsia="Calibri" w:cs="Times New Roman"/>
          <w:b/>
          <w:sz w:val="24"/>
          <w:szCs w:val="24"/>
        </w:rPr>
        <w:t>THƯ VIỆN CÁC HỢP CHẤT THIÊN NHIÊN (A. Natural products library)</w:t>
      </w:r>
    </w:p>
    <w:p w14:paraId="212F2AA4" w14:textId="77777777" w:rsidR="00C10AD8" w:rsidRPr="005551D4" w:rsidRDefault="00C10AD8" w:rsidP="00C10AD8">
      <w:pPr>
        <w:rPr>
          <w:rFonts w:eastAsia="Calibri" w:cs="Times New Roman"/>
          <w:szCs w:val="28"/>
        </w:rPr>
      </w:pPr>
      <w:r w:rsidRPr="005551D4">
        <w:rPr>
          <w:rFonts w:eastAsia="Calibri" w:cs="Times New Roman"/>
          <w:szCs w:val="28"/>
        </w:rPr>
        <w:t>Cơ sở hoặc tổ chức được xây dựng để thu thập, thống kê, bảo quản, chế biến và cung cấp mẫu của các hợp chất thiên nhiên cũ và mới, bao gồm các dịch chiết thô, các phân đoạn đã được làm giàu và các chất sạch thu được bằng con đường chiết xuất, phân lập từ các nguyên liệu tự nhiên hay bằng các phương pháp tổng hợp và bán tổng hợp hóa học. TVHCTN cung cấp các chất này dưới dạng nguyên chất hay dung dịch của chúng trong dung môi (chủ yếu là dimethyl sulfoxide) cho các chương trình sàng lọc để thử hoạt tính theo các mục tiêu khác nhau. Các chất trong thư viện được bảo quản, xử lý và cung cấp theo một phương thức thống nhất sao cho phù hợp với cách thức tự động hóa của các quá trình sàng lọc. Các dữ liệu thông tin của mỗi chất như công thức hóa học, cấu trúc phân tử, các đặc trưng hóa lý và dược lý cũng phải được thu thập và quản lý bằng máy tính theo một quy trình thống nhất. Các TVHCTN đầu tiên được xây dựng bởi các chương trình nghiên cứu phát triển thuốc của các quốc gia và các công ty hóa dược lớn. Các ví dụ điển hình là TVHCTN của chương trình tìm thuốc chống ung thư của cơ quan y tế Hoa Kỳ và "</w:t>
      </w:r>
      <w:r w:rsidR="00B11F8B" w:rsidRPr="005551D4">
        <w:rPr>
          <w:rFonts w:eastAsia="Calibri" w:cs="Times New Roman"/>
          <w:szCs w:val="28"/>
        </w:rPr>
        <w:t xml:space="preserve">Thư </w:t>
      </w:r>
      <w:r w:rsidRPr="005551D4">
        <w:rPr>
          <w:rFonts w:eastAsia="Calibri" w:cs="Times New Roman"/>
          <w:szCs w:val="28"/>
        </w:rPr>
        <w:t>viện hóa học quốc gia" kết nối tiềm lực của các viện nghiên cứu và các trường đại học ở Pháp. Reaxys, một trong số các cơ sở dữ liệu lớn nhất của hóa học hiện nay đã thu thập, lưu trữ và công bố cấu trúc cũng như các tính chất khác của hơn 300.000 kiểu phân tử hợp chất thiên nhiên. Số lượng các hợp chất thiên nhiên mới được tìm thấy ngày càng tăng cao và tiềm năng để tìm thêm được nhiều hơn nữa là rất lớn, vì hiện nay mới chỉ có một phần nhỏ các loài sinh vật đã được nghiên cứu về thành phần hóa học.</w:t>
      </w:r>
    </w:p>
    <w:p w14:paraId="29839232" w14:textId="77777777" w:rsidR="00C10AD8" w:rsidRPr="005551D4" w:rsidRDefault="00C10AD8" w:rsidP="00C10AD8">
      <w:pPr>
        <w:rPr>
          <w:rFonts w:eastAsia="Calibri" w:cs="Times New Roman"/>
          <w:szCs w:val="28"/>
        </w:rPr>
      </w:pPr>
      <w:r w:rsidRPr="005551D4">
        <w:rPr>
          <w:rFonts w:eastAsia="Calibri" w:cs="Times New Roman"/>
          <w:szCs w:val="28"/>
        </w:rPr>
        <w:t>TVHCTN đóng một vai trò quan trọng trong các thành tựu của ngành hóa dược hiện đại. Hơn 50% các thuốc mới được tìm ra trong các thập kỷ gần đây là các hợp chất thiên nhiên, hoặc là các dẫn xuất, hoặc là các chất mô phỏng cấu trúc của chúng. So sánh với các chất thu được bằng phương pháp Hóa tổ hợp</w:t>
      </w:r>
      <w:r w:rsidR="00B11F8B" w:rsidRPr="005551D4">
        <w:rPr>
          <w:rFonts w:eastAsia="Calibri" w:cs="Times New Roman"/>
          <w:szCs w:val="28"/>
        </w:rPr>
        <w:t xml:space="preserve"> </w:t>
      </w:r>
      <w:r w:rsidRPr="005551D4">
        <w:rPr>
          <w:rFonts w:eastAsia="Calibri" w:cs="Times New Roman"/>
          <w:szCs w:val="28"/>
        </w:rPr>
        <w:t xml:space="preserve">(combinatorial </w:t>
      </w:r>
      <w:r w:rsidR="00B11F8B" w:rsidRPr="005551D4">
        <w:rPr>
          <w:rFonts w:eastAsia="Calibri" w:cs="Times New Roman"/>
          <w:szCs w:val="28"/>
        </w:rPr>
        <w:t>chemistry)</w:t>
      </w:r>
      <w:r w:rsidRPr="005551D4">
        <w:rPr>
          <w:rFonts w:eastAsia="Calibri" w:cs="Times New Roman"/>
          <w:szCs w:val="28"/>
        </w:rPr>
        <w:t>, các hợp chất thiên nhiên đã tỏ ra có nhiều ưu điểm vượt trội. Nhược điểm lớn nhất của thư viện các chất tổng hợp là chúng chỉ đại diện cho một số rất ít các khung cấu trúc hóa học. Mặt khác, các chất tổng hợp thường có khối lượng phân tử thấp, ít trung tâm chiral, nhiều liên kết quay tự do, ít các trung tâm cho và nhận liên kết hydro, nhiều mạch thẳng dài, ít vòng, ít liên kết không no, tuy có nhiều nitơ, lưu huỳnh và clo nhưng lại ít oxy. Chúng cũng thường có chỉ số phân bố giữa octanol và nước (chỉ số cLogP) quá cao. Những điều đó làm cho sự gắn kết của chúng với các đích sinh học trở nên yếu và không chọn lọc. Ngược lại các hợp chất thiên nhiên có tính đa dạng và độ phức tạp rất cao về cấu trúc hóa học với các khung vững chắc, nhiều trung tâm chiral và nhiều trung tâm cho và nhận liên kết hydro, vì thế chúng thường có ái lực cao và chọn lọc với các protein thực hiện chức năng sinh học. Nhiều hợp chất thiên nhiên có các đặc trưng về dược động học phù hợp với các tiêu chí của các hoạt chất làm thuốc (quy tắc Lipinsk</w:t>
      </w:r>
      <w:r w:rsidR="00B11F8B" w:rsidRPr="005551D4">
        <w:rPr>
          <w:rFonts w:eastAsia="Calibri" w:cs="Times New Roman"/>
          <w:szCs w:val="28"/>
        </w:rPr>
        <w:t>i</w:t>
      </w:r>
      <w:r w:rsidRPr="005551D4">
        <w:rPr>
          <w:rFonts w:eastAsia="Calibri" w:cs="Times New Roman"/>
          <w:szCs w:val="28"/>
        </w:rPr>
        <w:t xml:space="preserve">). Chúng cũng thường được sử dụng làm khung cấu trúc cơ sở để tổng hợp ra các chất tương tự với hoạt tính cao hơn. </w:t>
      </w:r>
    </w:p>
    <w:p w14:paraId="378C5FFB" w14:textId="24280DF6" w:rsidR="00C10AD8" w:rsidRPr="005551D4" w:rsidRDefault="00C10AD8" w:rsidP="00C10AD8">
      <w:pPr>
        <w:rPr>
          <w:rFonts w:eastAsia="Calibri" w:cs="Times New Roman"/>
          <w:szCs w:val="28"/>
        </w:rPr>
      </w:pPr>
      <w:r w:rsidRPr="005551D4">
        <w:rPr>
          <w:rFonts w:eastAsia="Calibri" w:cs="Times New Roman"/>
          <w:szCs w:val="28"/>
        </w:rPr>
        <w:t xml:space="preserve">Chất lượng của TVHCTN thể hiện qua xác suất tìm thấy các chất đáp ứng được các tiêu chí của quá trình sàng lọc hoạt tính, có ảnh hưởng rất lớn đến kết quả và hiệu quả kinh tế của một chương trình nghiên cứu phát triển thuốc. Vì thế việc </w:t>
      </w:r>
      <w:r w:rsidRPr="005551D4">
        <w:rPr>
          <w:rFonts w:eastAsia="Calibri" w:cs="Times New Roman"/>
          <w:szCs w:val="28"/>
        </w:rPr>
        <w:lastRenderedPageBreak/>
        <w:t xml:space="preserve">chọn lựa các đối tượng để xây dựng và bổ sung cho TVHCTN ngày nay được thực hiện theo các cách có tính chất định hướng nhất định. Trong cách tiếp cận ngẫu nhiên, các nguyên liệu tự nhiên được chọn từ các vùng có tính đa dạng sinh học hoặc tính đặc hữu cao. Cách này thường không cho hiệu quả sàng lọc cao, nhưng lại có thể dẫn đến việc phát hiện ra các chất có cấu trúc và hoạt tính bất ngờ. Trong cách tiếp cận dược học dân tộc (ethnopharmacy), việc chọn lựa dựa trên các kiến thức của y học cổ truyền. Hiệu quả của cách tiếp cận này là rất rõ ràng, thể hiện qua việc tìm thấy các thuốc như papaverin, quinin, và artemisinin. Cách tiếp cận theo phân loại hóa học (chemical taxonomy) và cây phát sinh chủng loại dựa trên giả thiết là các hợp chất thiên nhiên có tác dụng dược lý không phân bố một cách ngẫu nhiên mà thường xuất hiện tập trung ở một số họ hoặc chi nhất định. Cách chọn lựa theo hướng này cho phép tìm ra các alkaloid trong chi </w:t>
      </w:r>
      <w:r w:rsidRPr="005551D4">
        <w:rPr>
          <w:rFonts w:eastAsia="Calibri" w:cs="Times New Roman"/>
          <w:i/>
          <w:szCs w:val="28"/>
        </w:rPr>
        <w:t>Narcissus</w:t>
      </w:r>
      <w:r w:rsidRPr="005551D4">
        <w:rPr>
          <w:rFonts w:eastAsia="Calibri" w:cs="Times New Roman"/>
          <w:szCs w:val="28"/>
        </w:rPr>
        <w:t xml:space="preserve"> thuộc họ </w:t>
      </w:r>
      <w:r w:rsidRPr="005551D4">
        <w:rPr>
          <w:rFonts w:eastAsia="Calibri" w:cs="Times New Roman"/>
          <w:i/>
          <w:szCs w:val="28"/>
        </w:rPr>
        <w:t>Amaryllidaceae</w:t>
      </w:r>
      <w:r w:rsidRPr="005551D4">
        <w:rPr>
          <w:rFonts w:eastAsia="Calibri" w:cs="Times New Roman"/>
          <w:szCs w:val="28"/>
        </w:rPr>
        <w:t xml:space="preserve"> có tác dụng ức chế enzym cholinesterase tương tự như thuốc galantamine chữa bệnh Alzheimer. Cách tiếp cận theo sinh thái học dựa trên các quan sát rằng tương tác giữa các sinh vật và môi trường đã dẫn đến việc chúng tạo ra các chất có hoạt tính sinh học. Cơ sở khoa học cho hiện tượng này dựa trên giả thiết về chức năng sinh thái của các hợp chất thiên nhiên, ví dụ như để bảo vệ vật chủ khỏi các tác động có hại từ bên ngoài.</w:t>
      </w:r>
    </w:p>
    <w:tbl>
      <w:tblPr>
        <w:tblW w:w="0" w:type="auto"/>
        <w:jc w:val="center"/>
        <w:tblLook w:val="01E0" w:firstRow="1" w:lastRow="1" w:firstColumn="1" w:lastColumn="1" w:noHBand="0" w:noVBand="0"/>
      </w:tblPr>
      <w:tblGrid>
        <w:gridCol w:w="4428"/>
        <w:gridCol w:w="4428"/>
      </w:tblGrid>
      <w:tr w:rsidR="00C10AD8" w:rsidRPr="005551D4" w14:paraId="12427826" w14:textId="77777777" w:rsidTr="001E4EF2">
        <w:trPr>
          <w:jc w:val="center"/>
        </w:trPr>
        <w:tc>
          <w:tcPr>
            <w:tcW w:w="4428" w:type="dxa"/>
            <w:vAlign w:val="center"/>
          </w:tcPr>
          <w:p w14:paraId="1F4AF587" w14:textId="77777777" w:rsidR="00C10AD8" w:rsidRPr="005551D4" w:rsidRDefault="00C10AD8" w:rsidP="00C10AD8">
            <w:pPr>
              <w:rPr>
                <w:rFonts w:eastAsia="Calibri" w:cs="Times New Roman"/>
                <w:szCs w:val="20"/>
              </w:rPr>
            </w:pPr>
            <w:r w:rsidRPr="005551D4">
              <w:rPr>
                <w:rFonts w:eastAsia="Calibri" w:cs="Times New Roman"/>
                <w:szCs w:val="20"/>
              </w:rPr>
              <w:t xml:space="preserve">                    </w:t>
            </w:r>
          </w:p>
        </w:tc>
        <w:tc>
          <w:tcPr>
            <w:tcW w:w="4428" w:type="dxa"/>
            <w:vAlign w:val="center"/>
          </w:tcPr>
          <w:p w14:paraId="19BA119D" w14:textId="77777777" w:rsidR="00C10AD8" w:rsidRPr="005551D4" w:rsidRDefault="00C10AD8" w:rsidP="00C10AD8">
            <w:pPr>
              <w:jc w:val="right"/>
              <w:rPr>
                <w:rFonts w:eastAsia="Calibri" w:cs="Times New Roman"/>
                <w:b/>
                <w:sz w:val="24"/>
                <w:szCs w:val="24"/>
              </w:rPr>
            </w:pPr>
            <w:r w:rsidRPr="005551D4">
              <w:rPr>
                <w:rFonts w:eastAsia="Calibri" w:cs="Times New Roman"/>
                <w:b/>
                <w:sz w:val="24"/>
                <w:szCs w:val="24"/>
              </w:rPr>
              <w:t>NGUYỄN QUYẾT CHIẾN</w:t>
            </w:r>
          </w:p>
        </w:tc>
      </w:tr>
    </w:tbl>
    <w:p w14:paraId="1B08018E" w14:textId="77777777" w:rsidR="00C10AD8" w:rsidRPr="005551D4" w:rsidRDefault="00C10AD8" w:rsidP="00C10AD8">
      <w:pPr>
        <w:rPr>
          <w:rFonts w:eastAsia="Calibri" w:cs="Times New Roman"/>
          <w:b/>
          <w:sz w:val="24"/>
          <w:szCs w:val="24"/>
        </w:rPr>
      </w:pPr>
      <w:r w:rsidRPr="005551D4">
        <w:rPr>
          <w:rFonts w:eastAsia="Calibri" w:cs="Times New Roman"/>
          <w:b/>
          <w:sz w:val="24"/>
          <w:szCs w:val="24"/>
        </w:rPr>
        <w:t>Tài liệu tham khảo:</w:t>
      </w:r>
    </w:p>
    <w:p w14:paraId="1D305D75" w14:textId="77777777" w:rsidR="00C10AD8" w:rsidRPr="005551D4" w:rsidRDefault="00C10AD8" w:rsidP="00C10AD8">
      <w:pPr>
        <w:rPr>
          <w:rFonts w:eastAsia="Calibri" w:cs="Times New Roman"/>
          <w:sz w:val="24"/>
          <w:szCs w:val="24"/>
          <w:lang w:eastAsia="x-none"/>
        </w:rPr>
      </w:pPr>
      <w:r w:rsidRPr="005551D4">
        <w:rPr>
          <w:rFonts w:eastAsia="Calibri" w:cs="Times New Roman"/>
          <w:sz w:val="24"/>
          <w:szCs w:val="24"/>
          <w:lang w:eastAsia="x-none"/>
        </w:rPr>
        <w:t xml:space="preserve">1. </w:t>
      </w:r>
      <w:r w:rsidRPr="005551D4">
        <w:rPr>
          <w:rFonts w:eastAsia="Calibri" w:cs="Times New Roman"/>
          <w:sz w:val="24"/>
          <w:szCs w:val="24"/>
          <w:lang w:val="x-none" w:eastAsia="x-none"/>
        </w:rPr>
        <w:t xml:space="preserve">Atanasov, Atanas G et al, </w:t>
      </w:r>
      <w:r w:rsidRPr="005551D4">
        <w:rPr>
          <w:rFonts w:eastAsia="Calibri" w:cs="Times New Roman"/>
          <w:i/>
          <w:sz w:val="24"/>
          <w:szCs w:val="24"/>
          <w:lang w:val="x-none" w:eastAsia="x-none"/>
        </w:rPr>
        <w:t>Discovery and resupply of pharmacologically active plant-derived natural products: A review</w:t>
      </w:r>
      <w:r w:rsidRPr="005551D4">
        <w:rPr>
          <w:rFonts w:eastAsia="Calibri" w:cs="Times New Roman"/>
          <w:sz w:val="24"/>
          <w:szCs w:val="24"/>
          <w:lang w:val="x-none" w:eastAsia="x-none"/>
        </w:rPr>
        <w:t>, Biotechnol. Adv., 2015</w:t>
      </w:r>
      <w:r w:rsidRPr="005551D4">
        <w:rPr>
          <w:rFonts w:eastAsia="Calibri" w:cs="Times New Roman"/>
          <w:sz w:val="24"/>
          <w:szCs w:val="24"/>
          <w:lang w:eastAsia="x-none"/>
        </w:rPr>
        <w:t>,</w:t>
      </w:r>
      <w:r w:rsidRPr="005551D4">
        <w:rPr>
          <w:rFonts w:eastAsia="Calibri" w:cs="Times New Roman"/>
          <w:sz w:val="24"/>
          <w:szCs w:val="24"/>
          <w:lang w:val="x-none" w:eastAsia="x-none"/>
        </w:rPr>
        <w:t xml:space="preserve"> 33(8), </w:t>
      </w:r>
      <w:r w:rsidRPr="005551D4">
        <w:rPr>
          <w:rFonts w:eastAsia="Calibri" w:cs="Times New Roman"/>
          <w:sz w:val="24"/>
          <w:szCs w:val="24"/>
          <w:lang w:eastAsia="x-none"/>
        </w:rPr>
        <w:t xml:space="preserve">tr. </w:t>
      </w:r>
      <w:r w:rsidRPr="005551D4">
        <w:rPr>
          <w:rFonts w:eastAsia="Calibri" w:cs="Times New Roman"/>
          <w:sz w:val="24"/>
          <w:szCs w:val="24"/>
          <w:lang w:val="x-none" w:eastAsia="x-none"/>
        </w:rPr>
        <w:t>1582</w:t>
      </w:r>
      <w:r w:rsidR="00B11F8B" w:rsidRPr="005551D4">
        <w:rPr>
          <w:rFonts w:eastAsia="Calibri" w:cs="Times New Roman"/>
          <w:sz w:val="24"/>
          <w:szCs w:val="24"/>
          <w:lang w:eastAsia="x-none"/>
        </w:rPr>
        <w:t>‒</w:t>
      </w:r>
      <w:r w:rsidRPr="005551D4">
        <w:rPr>
          <w:rFonts w:eastAsia="Calibri" w:cs="Times New Roman"/>
          <w:sz w:val="24"/>
          <w:szCs w:val="24"/>
          <w:lang w:val="x-none" w:eastAsia="x-none"/>
        </w:rPr>
        <w:t>614.</w:t>
      </w:r>
    </w:p>
    <w:p w14:paraId="637E262C" w14:textId="77777777" w:rsidR="00C10AD8" w:rsidRPr="00C10AD8" w:rsidRDefault="00C10AD8" w:rsidP="00C10AD8">
      <w:pPr>
        <w:rPr>
          <w:rFonts w:eastAsia="Calibri" w:cs="Times New Roman"/>
          <w:sz w:val="24"/>
          <w:szCs w:val="24"/>
          <w:lang w:val="x-none" w:eastAsia="x-none"/>
        </w:rPr>
      </w:pPr>
      <w:r w:rsidRPr="005551D4">
        <w:rPr>
          <w:rFonts w:eastAsia="Calibri" w:cs="Times New Roman"/>
          <w:sz w:val="24"/>
          <w:szCs w:val="24"/>
          <w:lang w:eastAsia="x-none"/>
        </w:rPr>
        <w:t xml:space="preserve">2. </w:t>
      </w:r>
      <w:r w:rsidRPr="005551D4">
        <w:rPr>
          <w:rFonts w:eastAsia="Calibri" w:cs="Times New Roman"/>
          <w:sz w:val="24"/>
          <w:szCs w:val="24"/>
          <w:lang w:val="x-none" w:eastAsia="x-none"/>
        </w:rPr>
        <w:t xml:space="preserve">W. Steglich, B. Fugmann, S. Lang-Fugmann (Editors), </w:t>
      </w:r>
      <w:r w:rsidRPr="005551D4">
        <w:rPr>
          <w:rFonts w:eastAsia="Calibri" w:cs="Times New Roman"/>
          <w:i/>
          <w:sz w:val="24"/>
          <w:szCs w:val="24"/>
          <w:lang w:val="x-none" w:eastAsia="x-none"/>
        </w:rPr>
        <w:t>Römpp Encyclopedia Natural Products</w:t>
      </w:r>
      <w:r w:rsidRPr="005551D4">
        <w:rPr>
          <w:rFonts w:eastAsia="Calibri" w:cs="Times New Roman"/>
          <w:sz w:val="24"/>
          <w:szCs w:val="24"/>
          <w:lang w:val="x-none" w:eastAsia="x-none"/>
        </w:rPr>
        <w:t>, Thieme: New York</w:t>
      </w:r>
      <w:r w:rsidRPr="005551D4">
        <w:rPr>
          <w:rFonts w:eastAsia="Calibri" w:cs="Times New Roman"/>
          <w:sz w:val="24"/>
          <w:szCs w:val="24"/>
          <w:lang w:eastAsia="x-none"/>
        </w:rPr>
        <w:t>,</w:t>
      </w:r>
      <w:r w:rsidRPr="005551D4">
        <w:rPr>
          <w:rFonts w:eastAsia="Calibri" w:cs="Times New Roman"/>
          <w:sz w:val="24"/>
          <w:szCs w:val="24"/>
          <w:lang w:val="x-none" w:eastAsia="x-none"/>
        </w:rPr>
        <w:t xml:space="preserve"> 2000, </w:t>
      </w:r>
      <w:r w:rsidR="00B11F8B" w:rsidRPr="005551D4">
        <w:rPr>
          <w:rFonts w:eastAsia="Calibri" w:cs="Times New Roman"/>
          <w:sz w:val="24"/>
          <w:szCs w:val="24"/>
          <w:lang w:eastAsia="x-none"/>
        </w:rPr>
        <w:t xml:space="preserve">tr. </w:t>
      </w:r>
      <w:r w:rsidRPr="005551D4">
        <w:rPr>
          <w:rFonts w:eastAsia="Calibri" w:cs="Times New Roman"/>
          <w:sz w:val="24"/>
          <w:szCs w:val="24"/>
          <w:lang w:val="x-none" w:eastAsia="x-none"/>
        </w:rPr>
        <w:t>576.</w:t>
      </w:r>
    </w:p>
    <w:p w14:paraId="798B4990" w14:textId="77777777" w:rsidR="00413478" w:rsidRDefault="00413478"/>
    <w:sectPr w:rsidR="00413478"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D8"/>
    <w:rsid w:val="003967FB"/>
    <w:rsid w:val="00413478"/>
    <w:rsid w:val="0044053A"/>
    <w:rsid w:val="00457C2A"/>
    <w:rsid w:val="005551D4"/>
    <w:rsid w:val="005C1A5F"/>
    <w:rsid w:val="006E17C3"/>
    <w:rsid w:val="007E559D"/>
    <w:rsid w:val="00B11F8B"/>
    <w:rsid w:val="00B5367C"/>
    <w:rsid w:val="00C10AD8"/>
    <w:rsid w:val="00CD5614"/>
    <w:rsid w:val="00D32001"/>
    <w:rsid w:val="00DB3DA9"/>
    <w:rsid w:val="00F17A94"/>
    <w:rsid w:val="00F8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0D28"/>
  <w15:chartTrackingRefBased/>
  <w15:docId w15:val="{3049CDE2-7FD7-4B6A-BC49-16E34337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7</cp:revision>
  <dcterms:created xsi:type="dcterms:W3CDTF">2023-08-21T04:58:00Z</dcterms:created>
  <dcterms:modified xsi:type="dcterms:W3CDTF">2025-12-19T07:33:00Z</dcterms:modified>
</cp:coreProperties>
</file>